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2307" w14:textId="08921DED" w:rsidR="00D42B14" w:rsidRPr="00A05129" w:rsidRDefault="00D42B14" w:rsidP="000549AE">
      <w:pPr>
        <w:pStyle w:val="Heading1"/>
        <w:jc w:val="both"/>
        <w:rPr>
          <w:rFonts w:ascii="Century Gothic" w:hAnsi="Century Gothic"/>
          <w:sz w:val="22"/>
          <w:szCs w:val="22"/>
        </w:rPr>
      </w:pPr>
      <w:bookmarkStart w:id="0" w:name="_Toc508178047"/>
      <w:r w:rsidRPr="00A05129">
        <w:rPr>
          <w:rFonts w:ascii="Century Gothic" w:hAnsi="Century Gothic"/>
          <w:sz w:val="22"/>
          <w:szCs w:val="22"/>
        </w:rPr>
        <w:t>Personal data breach procedure</w:t>
      </w:r>
      <w:bookmarkEnd w:id="0"/>
    </w:p>
    <w:p w14:paraId="478589E7" w14:textId="5FDEA860" w:rsidR="004D49D2" w:rsidRPr="00A05129" w:rsidRDefault="00D42B14" w:rsidP="000549AE">
      <w:pPr>
        <w:spacing w:after="0"/>
        <w:jc w:val="both"/>
        <w:rPr>
          <w:rFonts w:ascii="Century Gothic" w:hAnsi="Century Gothic"/>
          <w:sz w:val="22"/>
          <w:szCs w:val="22"/>
        </w:rPr>
      </w:pPr>
      <w:r w:rsidRPr="00A05129">
        <w:rPr>
          <w:rFonts w:ascii="Century Gothic" w:hAnsi="Century Gothic"/>
          <w:sz w:val="22"/>
          <w:szCs w:val="22"/>
        </w:rPr>
        <w:t xml:space="preserve">This procedure is based on </w:t>
      </w:r>
      <w:hyperlink r:id="rId10" w:history="1">
        <w:r w:rsidRPr="00A05129">
          <w:rPr>
            <w:rStyle w:val="Hyperlink"/>
            <w:rFonts w:ascii="Century Gothic" w:hAnsi="Century Gothic"/>
            <w:sz w:val="22"/>
            <w:szCs w:val="22"/>
          </w:rPr>
          <w:t>guidance on personal data breaches</w:t>
        </w:r>
      </w:hyperlink>
      <w:r w:rsidRPr="00A05129">
        <w:rPr>
          <w:rFonts w:ascii="Century Gothic" w:hAnsi="Century Gothic"/>
          <w:sz w:val="22"/>
          <w:szCs w:val="22"/>
        </w:rPr>
        <w:t xml:space="preserve"> produced by the ICO</w:t>
      </w:r>
      <w:r w:rsidR="00A65633" w:rsidRPr="00A05129">
        <w:rPr>
          <w:rFonts w:ascii="Century Gothic" w:hAnsi="Century Gothic"/>
          <w:sz w:val="22"/>
          <w:szCs w:val="22"/>
        </w:rPr>
        <w:t xml:space="preserve"> and will be used for any data breaches identified in the Trust or their schools</w:t>
      </w:r>
      <w:r w:rsidRPr="00A05129">
        <w:rPr>
          <w:rFonts w:ascii="Century Gothic" w:hAnsi="Century Gothic"/>
          <w:sz w:val="22"/>
          <w:szCs w:val="22"/>
        </w:rPr>
        <w:t>.</w:t>
      </w:r>
    </w:p>
    <w:p w14:paraId="03BA92DE" w14:textId="77777777" w:rsidR="00E44339" w:rsidRPr="00A05129" w:rsidRDefault="00E44339" w:rsidP="000549AE">
      <w:pPr>
        <w:spacing w:after="0"/>
        <w:jc w:val="both"/>
        <w:rPr>
          <w:rFonts w:ascii="Century Gothic" w:hAnsi="Century Gothic" w:cs="Arial"/>
          <w:b/>
          <w:sz w:val="22"/>
          <w:szCs w:val="22"/>
        </w:rPr>
      </w:pPr>
      <w:r w:rsidRPr="00A05129">
        <w:rPr>
          <w:rFonts w:ascii="Century Gothic" w:hAnsi="Century Gothic" w:cs="Arial"/>
          <w:b/>
          <w:sz w:val="22"/>
          <w:szCs w:val="22"/>
        </w:rPr>
        <w:t>What is a personal data breach?</w:t>
      </w:r>
    </w:p>
    <w:p w14:paraId="27A104F9" w14:textId="77777777" w:rsidR="00E44339" w:rsidRPr="00A05129" w:rsidRDefault="00E44339" w:rsidP="000549AE">
      <w:pPr>
        <w:spacing w:after="0"/>
        <w:jc w:val="both"/>
        <w:rPr>
          <w:rFonts w:ascii="Century Gothic" w:hAnsi="Century Gothic" w:cs="Arial"/>
          <w:b/>
          <w:i/>
          <w:sz w:val="22"/>
          <w:szCs w:val="22"/>
        </w:rPr>
      </w:pPr>
      <w:r w:rsidRPr="00A05129">
        <w:rPr>
          <w:rFonts w:ascii="Century Gothic" w:hAnsi="Century Gothic" w:cs="Arial"/>
          <w:sz w:val="22"/>
          <w:szCs w:val="22"/>
        </w:rPr>
        <w:t xml:space="preserve">‘A personal data breach means a breach of security leading to the accidental or unlawful destruction, loss, alteration, </w:t>
      </w:r>
      <w:proofErr w:type="spellStart"/>
      <w:r w:rsidRPr="00A05129">
        <w:rPr>
          <w:rFonts w:ascii="Century Gothic" w:hAnsi="Century Gothic" w:cs="Arial"/>
          <w:sz w:val="22"/>
          <w:szCs w:val="22"/>
        </w:rPr>
        <w:t>unauthorised</w:t>
      </w:r>
      <w:proofErr w:type="spellEnd"/>
      <w:r w:rsidRPr="00A05129">
        <w:rPr>
          <w:rFonts w:ascii="Century Gothic" w:hAnsi="Century Gothic" w:cs="Arial"/>
          <w:sz w:val="22"/>
          <w:szCs w:val="22"/>
        </w:rPr>
        <w:t xml:space="preserve"> disclosure of, or access to, personal data. This includes breaches that are the result of both accidental and deliberate causes. It also means that a breach is more than just about losing personal data.’ – </w:t>
      </w:r>
      <w:r w:rsidRPr="00A05129">
        <w:rPr>
          <w:rFonts w:ascii="Century Gothic" w:hAnsi="Century Gothic" w:cs="Arial"/>
          <w:b/>
          <w:i/>
          <w:sz w:val="22"/>
          <w:szCs w:val="22"/>
        </w:rPr>
        <w:t>Taken from the ICO Guide to GDPR</w:t>
      </w:r>
    </w:p>
    <w:p w14:paraId="611BB767" w14:textId="2B4F8FF5" w:rsidR="00E44339" w:rsidRPr="00A05129" w:rsidRDefault="00E44339" w:rsidP="000549AE">
      <w:pPr>
        <w:spacing w:after="0"/>
        <w:jc w:val="both"/>
        <w:rPr>
          <w:rFonts w:ascii="Century Gothic" w:hAnsi="Century Gothic" w:cs="Arial"/>
          <w:sz w:val="22"/>
          <w:szCs w:val="22"/>
        </w:rPr>
      </w:pPr>
      <w:r w:rsidRPr="00A05129">
        <w:rPr>
          <w:rFonts w:ascii="Century Gothic" w:hAnsi="Century Gothic" w:cs="Arial"/>
          <w:sz w:val="22"/>
          <w:szCs w:val="22"/>
        </w:rPr>
        <w:t>On finding or causing a breach, or potential breach, the staff member, trustee/governor or data processor must immediately notify the DPO (ideally within 24 hours of the breach occurring).</w:t>
      </w:r>
    </w:p>
    <w:p w14:paraId="685799F7" w14:textId="77777777" w:rsidR="00E44339" w:rsidRPr="00A05129" w:rsidRDefault="00E44339" w:rsidP="000549AE">
      <w:pPr>
        <w:spacing w:after="0"/>
        <w:jc w:val="both"/>
        <w:rPr>
          <w:rFonts w:ascii="Century Gothic" w:hAnsi="Century Gothic"/>
          <w:sz w:val="22"/>
          <w:szCs w:val="22"/>
        </w:rPr>
      </w:pPr>
    </w:p>
    <w:p w14:paraId="56C742E8" w14:textId="18B70B90" w:rsidR="00E44339" w:rsidRDefault="00E44339" w:rsidP="000549AE">
      <w:pPr>
        <w:spacing w:after="0"/>
        <w:jc w:val="both"/>
        <w:rPr>
          <w:rFonts w:ascii="Century Gothic" w:hAnsi="Century Gothic" w:cs="Arial"/>
          <w:sz w:val="22"/>
          <w:szCs w:val="22"/>
        </w:rPr>
      </w:pPr>
      <w:r w:rsidRPr="00A05129">
        <w:rPr>
          <w:rFonts w:ascii="Century Gothic" w:hAnsi="Century Gothic" w:cs="Arial"/>
          <w:sz w:val="22"/>
          <w:szCs w:val="22"/>
        </w:rPr>
        <w:t>The following steps will be followed:</w:t>
      </w:r>
    </w:p>
    <w:p w14:paraId="4143449E" w14:textId="77777777" w:rsidR="00A05129" w:rsidRPr="00A05129" w:rsidRDefault="00A05129" w:rsidP="000549AE">
      <w:pPr>
        <w:spacing w:after="0"/>
        <w:jc w:val="both"/>
        <w:rPr>
          <w:rFonts w:ascii="Century Gothic" w:hAnsi="Century Gothic" w:cs="Arial"/>
          <w:sz w:val="22"/>
          <w:szCs w:val="22"/>
        </w:rPr>
      </w:pPr>
    </w:p>
    <w:p w14:paraId="1CB596F7" w14:textId="2609F9EF" w:rsidR="00E44339" w:rsidRPr="00A05129" w:rsidRDefault="00E44339" w:rsidP="000549AE">
      <w:pPr>
        <w:pStyle w:val="ListParagraph"/>
        <w:numPr>
          <w:ilvl w:val="0"/>
          <w:numId w:val="12"/>
        </w:numPr>
        <w:spacing w:after="0" w:line="240" w:lineRule="auto"/>
        <w:ind w:left="0" w:firstLine="0"/>
        <w:jc w:val="both"/>
        <w:rPr>
          <w:rFonts w:ascii="Century Gothic" w:eastAsia="Times New Roman" w:hAnsi="Century Gothic" w:cs="Arial"/>
          <w:color w:val="212121"/>
          <w:lang w:eastAsia="en-GB"/>
        </w:rPr>
      </w:pPr>
      <w:r w:rsidRPr="00A05129">
        <w:rPr>
          <w:rFonts w:ascii="Century Gothic" w:eastAsia="Times New Roman" w:hAnsi="Century Gothic" w:cs="Arial"/>
          <w:color w:val="000000"/>
          <w:lang w:eastAsia="en-GB"/>
        </w:rPr>
        <w:t>On receipt of the notification, the DPO will inform the Governance Manager about the breach who will notify CEO and Chair of the Board.</w:t>
      </w:r>
    </w:p>
    <w:p w14:paraId="3F72B429" w14:textId="7404C639" w:rsidR="00A05129" w:rsidRPr="007214D7" w:rsidRDefault="00D42B14" w:rsidP="000549AE">
      <w:pPr>
        <w:pStyle w:val="ListParagraph"/>
        <w:numPr>
          <w:ilvl w:val="0"/>
          <w:numId w:val="12"/>
        </w:numPr>
        <w:spacing w:after="0"/>
        <w:ind w:left="0" w:firstLine="0"/>
        <w:jc w:val="both"/>
        <w:rPr>
          <w:rFonts w:ascii="Century Gothic" w:hAnsi="Century Gothic" w:cs="Arial"/>
        </w:rPr>
      </w:pPr>
      <w:r w:rsidRPr="00A05129">
        <w:rPr>
          <w:rFonts w:ascii="Century Gothic" w:hAnsi="Century Gothic" w:cs="Arial"/>
        </w:rPr>
        <w:t xml:space="preserve">The DPO will investigate the </w:t>
      </w:r>
      <w:r w:rsidR="00E44339" w:rsidRPr="00A05129">
        <w:rPr>
          <w:rFonts w:ascii="Century Gothic" w:hAnsi="Century Gothic" w:cs="Arial"/>
        </w:rPr>
        <w:t>potential breach</w:t>
      </w:r>
      <w:r w:rsidRPr="00A05129">
        <w:rPr>
          <w:rFonts w:ascii="Century Gothic" w:hAnsi="Century Gothic" w:cs="Arial"/>
        </w:rPr>
        <w:t xml:space="preserve">, and determine whether a breach has occurred. To decide, the DPO will consider whether personal data has been accidentally or unlawfully: </w:t>
      </w:r>
    </w:p>
    <w:p w14:paraId="7C960B9E" w14:textId="77777777" w:rsidR="00D42B14" w:rsidRPr="00A05129" w:rsidRDefault="00D42B14" w:rsidP="000549AE">
      <w:pPr>
        <w:pStyle w:val="ListParagraph"/>
        <w:numPr>
          <w:ilvl w:val="0"/>
          <w:numId w:val="11"/>
        </w:numPr>
        <w:spacing w:after="0"/>
        <w:jc w:val="both"/>
        <w:rPr>
          <w:rFonts w:ascii="Century Gothic" w:hAnsi="Century Gothic" w:cs="Arial"/>
        </w:rPr>
      </w:pPr>
      <w:r w:rsidRPr="00A05129">
        <w:rPr>
          <w:rFonts w:ascii="Century Gothic" w:hAnsi="Century Gothic" w:cs="Arial"/>
        </w:rPr>
        <w:t xml:space="preserve">Lost </w:t>
      </w:r>
    </w:p>
    <w:p w14:paraId="2348B1EC" w14:textId="77777777" w:rsidR="00D42B14" w:rsidRPr="00A05129" w:rsidRDefault="00D42B14" w:rsidP="000549AE">
      <w:pPr>
        <w:pStyle w:val="ListParagraph"/>
        <w:numPr>
          <w:ilvl w:val="0"/>
          <w:numId w:val="11"/>
        </w:numPr>
        <w:spacing w:after="0"/>
        <w:jc w:val="both"/>
        <w:rPr>
          <w:rFonts w:ascii="Century Gothic" w:hAnsi="Century Gothic" w:cs="Arial"/>
        </w:rPr>
      </w:pPr>
      <w:r w:rsidRPr="00A05129">
        <w:rPr>
          <w:rFonts w:ascii="Century Gothic" w:hAnsi="Century Gothic" w:cs="Arial"/>
        </w:rPr>
        <w:t>Stolen</w:t>
      </w:r>
    </w:p>
    <w:p w14:paraId="36DE7896" w14:textId="77777777" w:rsidR="00D42B14" w:rsidRPr="00A05129" w:rsidRDefault="00D42B14" w:rsidP="000549AE">
      <w:pPr>
        <w:pStyle w:val="ListParagraph"/>
        <w:numPr>
          <w:ilvl w:val="0"/>
          <w:numId w:val="11"/>
        </w:numPr>
        <w:spacing w:after="0"/>
        <w:jc w:val="both"/>
        <w:rPr>
          <w:rFonts w:ascii="Century Gothic" w:hAnsi="Century Gothic" w:cs="Arial"/>
        </w:rPr>
      </w:pPr>
      <w:r w:rsidRPr="00A05129">
        <w:rPr>
          <w:rFonts w:ascii="Century Gothic" w:hAnsi="Century Gothic" w:cs="Arial"/>
        </w:rPr>
        <w:t>Destroyed</w:t>
      </w:r>
    </w:p>
    <w:p w14:paraId="0FC4E1C5" w14:textId="77777777" w:rsidR="00D42B14" w:rsidRPr="00A05129" w:rsidRDefault="00D42B14" w:rsidP="000549AE">
      <w:pPr>
        <w:pStyle w:val="ListParagraph"/>
        <w:numPr>
          <w:ilvl w:val="0"/>
          <w:numId w:val="11"/>
        </w:numPr>
        <w:spacing w:after="0"/>
        <w:jc w:val="both"/>
        <w:rPr>
          <w:rFonts w:ascii="Century Gothic" w:hAnsi="Century Gothic" w:cs="Arial"/>
        </w:rPr>
      </w:pPr>
      <w:r w:rsidRPr="00A05129">
        <w:rPr>
          <w:rFonts w:ascii="Century Gothic" w:hAnsi="Century Gothic" w:cs="Arial"/>
        </w:rPr>
        <w:t>Altered</w:t>
      </w:r>
    </w:p>
    <w:p w14:paraId="0F15FCCA" w14:textId="77777777" w:rsidR="00D42B14" w:rsidRPr="00A05129" w:rsidRDefault="00D42B14" w:rsidP="000549AE">
      <w:pPr>
        <w:pStyle w:val="ListParagraph"/>
        <w:numPr>
          <w:ilvl w:val="0"/>
          <w:numId w:val="11"/>
        </w:numPr>
        <w:spacing w:after="0"/>
        <w:jc w:val="both"/>
        <w:rPr>
          <w:rFonts w:ascii="Century Gothic" w:hAnsi="Century Gothic" w:cs="Arial"/>
        </w:rPr>
      </w:pPr>
      <w:r w:rsidRPr="00A05129">
        <w:rPr>
          <w:rFonts w:ascii="Century Gothic" w:hAnsi="Century Gothic" w:cs="Arial"/>
        </w:rPr>
        <w:t>Disclosed or made available where it should not have been</w:t>
      </w:r>
    </w:p>
    <w:p w14:paraId="598F8A07" w14:textId="759F5E0A" w:rsidR="00D42B14" w:rsidRDefault="00D42B14" w:rsidP="000549AE">
      <w:pPr>
        <w:pStyle w:val="ListParagraph"/>
        <w:numPr>
          <w:ilvl w:val="0"/>
          <w:numId w:val="11"/>
        </w:numPr>
        <w:spacing w:after="0"/>
        <w:jc w:val="both"/>
        <w:rPr>
          <w:rFonts w:ascii="Century Gothic" w:hAnsi="Century Gothic" w:cs="Arial"/>
        </w:rPr>
      </w:pPr>
      <w:r w:rsidRPr="00A05129">
        <w:rPr>
          <w:rFonts w:ascii="Century Gothic" w:hAnsi="Century Gothic" w:cs="Arial"/>
        </w:rPr>
        <w:t>Made available to unauthorised people</w:t>
      </w:r>
    </w:p>
    <w:p w14:paraId="7DE7A23C" w14:textId="77777777" w:rsidR="000549AE" w:rsidRPr="00A05129" w:rsidRDefault="000549AE" w:rsidP="000549AE">
      <w:pPr>
        <w:pStyle w:val="ListParagraph"/>
        <w:spacing w:after="0"/>
        <w:ind w:left="2160"/>
        <w:jc w:val="both"/>
        <w:rPr>
          <w:rFonts w:ascii="Century Gothic" w:hAnsi="Century Gothic" w:cs="Arial"/>
        </w:rPr>
      </w:pPr>
    </w:p>
    <w:p w14:paraId="41B8D410" w14:textId="3A47DAB3" w:rsidR="00D42B14" w:rsidRDefault="00D42B14" w:rsidP="000549AE">
      <w:pPr>
        <w:pStyle w:val="ListParagraph"/>
        <w:numPr>
          <w:ilvl w:val="0"/>
          <w:numId w:val="12"/>
        </w:numPr>
        <w:spacing w:after="0"/>
        <w:ind w:left="0" w:firstLine="0"/>
        <w:jc w:val="both"/>
        <w:rPr>
          <w:rFonts w:ascii="Century Gothic" w:hAnsi="Century Gothic" w:cs="Arial"/>
        </w:rPr>
      </w:pPr>
      <w:r w:rsidRPr="00A05129">
        <w:rPr>
          <w:rFonts w:ascii="Century Gothic" w:hAnsi="Century Gothic" w:cs="Arial"/>
        </w:rPr>
        <w:t>The DPO will make all reasonable efforts to contain and minimise the impact of the breach, assisted by relevant staff members or data processors where necessary. (Actions relevant to specific data types are set out at the end of this procedure)</w:t>
      </w:r>
    </w:p>
    <w:p w14:paraId="719DC517" w14:textId="77777777" w:rsidR="000549AE" w:rsidRPr="00A05129" w:rsidRDefault="000549AE" w:rsidP="000549AE">
      <w:pPr>
        <w:pStyle w:val="ListParagraph"/>
        <w:spacing w:after="0"/>
        <w:ind w:left="0"/>
        <w:jc w:val="both"/>
        <w:rPr>
          <w:rFonts w:ascii="Century Gothic" w:hAnsi="Century Gothic" w:cs="Arial"/>
        </w:rPr>
      </w:pPr>
    </w:p>
    <w:p w14:paraId="6AAC5209" w14:textId="4C9EE8CF" w:rsidR="00D42B14" w:rsidRDefault="00D42B14" w:rsidP="000549AE">
      <w:pPr>
        <w:pStyle w:val="ListParagraph"/>
        <w:numPr>
          <w:ilvl w:val="0"/>
          <w:numId w:val="12"/>
        </w:numPr>
        <w:spacing w:after="0"/>
        <w:ind w:left="0" w:firstLine="0"/>
        <w:jc w:val="both"/>
        <w:rPr>
          <w:rFonts w:ascii="Century Gothic" w:hAnsi="Century Gothic" w:cs="Arial"/>
        </w:rPr>
      </w:pPr>
      <w:r w:rsidRPr="00A05129">
        <w:rPr>
          <w:rFonts w:ascii="Century Gothic" w:hAnsi="Century Gothic" w:cs="Arial"/>
        </w:rPr>
        <w:t>The DPO will assess the potential consequences, based on how serious they are, and how likely they are to happen</w:t>
      </w:r>
    </w:p>
    <w:p w14:paraId="0ED3FFEE" w14:textId="77777777" w:rsidR="000549AE" w:rsidRPr="000549AE" w:rsidRDefault="000549AE" w:rsidP="000549AE">
      <w:pPr>
        <w:pStyle w:val="ListParagraph"/>
        <w:jc w:val="both"/>
        <w:rPr>
          <w:rFonts w:ascii="Century Gothic" w:hAnsi="Century Gothic" w:cs="Arial"/>
        </w:rPr>
      </w:pPr>
    </w:p>
    <w:p w14:paraId="075624F2" w14:textId="77777777" w:rsidR="000549AE" w:rsidRPr="00A05129" w:rsidRDefault="000549AE" w:rsidP="000549AE">
      <w:pPr>
        <w:pStyle w:val="ListParagraph"/>
        <w:spacing w:after="0"/>
        <w:ind w:left="0"/>
        <w:jc w:val="both"/>
        <w:rPr>
          <w:rFonts w:ascii="Century Gothic" w:hAnsi="Century Gothic" w:cs="Arial"/>
        </w:rPr>
      </w:pPr>
    </w:p>
    <w:p w14:paraId="3A3C0818" w14:textId="3EE4A3F7" w:rsidR="00A05129" w:rsidRPr="007214D7" w:rsidRDefault="00D42B14" w:rsidP="000549AE">
      <w:pPr>
        <w:pStyle w:val="ListParagraph"/>
        <w:numPr>
          <w:ilvl w:val="0"/>
          <w:numId w:val="12"/>
        </w:numPr>
        <w:spacing w:after="0"/>
        <w:ind w:left="0" w:firstLine="0"/>
        <w:jc w:val="both"/>
        <w:rPr>
          <w:rFonts w:ascii="Century Gothic" w:hAnsi="Century Gothic" w:cs="Arial"/>
        </w:rPr>
      </w:pPr>
      <w:r w:rsidRPr="00A05129">
        <w:rPr>
          <w:rFonts w:ascii="Century Gothic" w:hAnsi="Century Gothic" w:cs="Arial"/>
        </w:rPr>
        <w:t xml:space="preserve">The DPO will </w:t>
      </w:r>
      <w:r w:rsidR="00A65633" w:rsidRPr="00A05129">
        <w:rPr>
          <w:rFonts w:ascii="Century Gothic" w:hAnsi="Century Gothic" w:cs="Arial"/>
        </w:rPr>
        <w:t>assess and recommend</w:t>
      </w:r>
      <w:r w:rsidRPr="00A05129">
        <w:rPr>
          <w:rFonts w:ascii="Century Gothic" w:hAnsi="Century Gothic" w:cs="Arial"/>
        </w:rPr>
        <w:t xml:space="preserve">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36706101" w14:textId="77777777" w:rsidR="00D42B14" w:rsidRPr="00A05129" w:rsidRDefault="00D42B14" w:rsidP="000549AE">
      <w:pPr>
        <w:pStyle w:val="ListParagraph"/>
        <w:numPr>
          <w:ilvl w:val="0"/>
          <w:numId w:val="2"/>
        </w:numPr>
        <w:spacing w:after="0"/>
        <w:ind w:left="2268" w:hanging="425"/>
        <w:jc w:val="both"/>
        <w:rPr>
          <w:rFonts w:ascii="Century Gothic" w:hAnsi="Century Gothic" w:cs="Arial"/>
        </w:rPr>
      </w:pPr>
      <w:r w:rsidRPr="00A05129">
        <w:rPr>
          <w:rFonts w:ascii="Century Gothic" w:hAnsi="Century Gothic" w:cs="Arial"/>
        </w:rPr>
        <w:t>Loss of control over their data</w:t>
      </w:r>
    </w:p>
    <w:p w14:paraId="10462CDF" w14:textId="77777777" w:rsidR="00D42B14" w:rsidRPr="00A05129" w:rsidRDefault="00D42B14" w:rsidP="000549AE">
      <w:pPr>
        <w:pStyle w:val="ListParagraph"/>
        <w:numPr>
          <w:ilvl w:val="0"/>
          <w:numId w:val="2"/>
        </w:numPr>
        <w:spacing w:after="0"/>
        <w:ind w:left="2268" w:hanging="425"/>
        <w:jc w:val="both"/>
        <w:rPr>
          <w:rFonts w:ascii="Century Gothic" w:hAnsi="Century Gothic" w:cs="Arial"/>
        </w:rPr>
      </w:pPr>
      <w:r w:rsidRPr="00A05129">
        <w:rPr>
          <w:rFonts w:ascii="Century Gothic" w:hAnsi="Century Gothic" w:cs="Arial"/>
        </w:rPr>
        <w:t xml:space="preserve">Discrimination </w:t>
      </w:r>
    </w:p>
    <w:p w14:paraId="6F3421C1" w14:textId="77777777" w:rsidR="00D42B14" w:rsidRPr="00A05129" w:rsidRDefault="00D42B14" w:rsidP="000549AE">
      <w:pPr>
        <w:pStyle w:val="ListParagraph"/>
        <w:numPr>
          <w:ilvl w:val="0"/>
          <w:numId w:val="2"/>
        </w:numPr>
        <w:spacing w:after="0"/>
        <w:ind w:left="2268" w:hanging="425"/>
        <w:jc w:val="both"/>
        <w:rPr>
          <w:rFonts w:ascii="Century Gothic" w:hAnsi="Century Gothic" w:cs="Arial"/>
        </w:rPr>
      </w:pPr>
      <w:r w:rsidRPr="00A05129">
        <w:rPr>
          <w:rFonts w:ascii="Century Gothic" w:hAnsi="Century Gothic" w:cs="Arial"/>
        </w:rPr>
        <w:t>Identify theft or fraud</w:t>
      </w:r>
    </w:p>
    <w:p w14:paraId="3DFFD28A" w14:textId="77777777" w:rsidR="00D42B14" w:rsidRPr="00A05129" w:rsidRDefault="00D42B14" w:rsidP="000549AE">
      <w:pPr>
        <w:pStyle w:val="ListParagraph"/>
        <w:numPr>
          <w:ilvl w:val="0"/>
          <w:numId w:val="2"/>
        </w:numPr>
        <w:spacing w:after="0"/>
        <w:ind w:left="2268" w:hanging="425"/>
        <w:jc w:val="both"/>
        <w:rPr>
          <w:rFonts w:ascii="Century Gothic" w:hAnsi="Century Gothic" w:cs="Arial"/>
        </w:rPr>
      </w:pPr>
      <w:r w:rsidRPr="00A05129">
        <w:rPr>
          <w:rFonts w:ascii="Century Gothic" w:hAnsi="Century Gothic" w:cs="Arial"/>
        </w:rPr>
        <w:t>Financial loss</w:t>
      </w:r>
    </w:p>
    <w:p w14:paraId="1A3CC17E" w14:textId="77777777" w:rsidR="00D42B14" w:rsidRPr="00A05129" w:rsidRDefault="00D42B14" w:rsidP="000549AE">
      <w:pPr>
        <w:pStyle w:val="ListParagraph"/>
        <w:numPr>
          <w:ilvl w:val="0"/>
          <w:numId w:val="2"/>
        </w:numPr>
        <w:spacing w:after="0"/>
        <w:ind w:left="2268" w:hanging="425"/>
        <w:jc w:val="both"/>
        <w:rPr>
          <w:rFonts w:ascii="Century Gothic" w:hAnsi="Century Gothic" w:cs="Arial"/>
        </w:rPr>
      </w:pPr>
      <w:r w:rsidRPr="00A05129">
        <w:rPr>
          <w:rFonts w:ascii="Century Gothic" w:hAnsi="Century Gothic" w:cs="Arial"/>
        </w:rPr>
        <w:lastRenderedPageBreak/>
        <w:t xml:space="preserve">Unauthorised reversal of pseudonymisation (for example, key-coding) </w:t>
      </w:r>
    </w:p>
    <w:p w14:paraId="27D7AB95" w14:textId="77777777" w:rsidR="00D42B14" w:rsidRPr="00A05129" w:rsidRDefault="00D42B14" w:rsidP="000549AE">
      <w:pPr>
        <w:pStyle w:val="ListParagraph"/>
        <w:numPr>
          <w:ilvl w:val="0"/>
          <w:numId w:val="2"/>
        </w:numPr>
        <w:spacing w:after="0"/>
        <w:ind w:left="2268" w:hanging="425"/>
        <w:jc w:val="both"/>
        <w:rPr>
          <w:rFonts w:ascii="Century Gothic" w:hAnsi="Century Gothic" w:cs="Arial"/>
        </w:rPr>
      </w:pPr>
      <w:r w:rsidRPr="00A05129">
        <w:rPr>
          <w:rFonts w:ascii="Century Gothic" w:hAnsi="Century Gothic" w:cs="Arial"/>
        </w:rPr>
        <w:t>Damage to reputation</w:t>
      </w:r>
    </w:p>
    <w:p w14:paraId="17DE3E6F" w14:textId="77777777" w:rsidR="00D42B14" w:rsidRPr="00A05129" w:rsidRDefault="00D42B14" w:rsidP="000549AE">
      <w:pPr>
        <w:pStyle w:val="ListParagraph"/>
        <w:numPr>
          <w:ilvl w:val="0"/>
          <w:numId w:val="2"/>
        </w:numPr>
        <w:spacing w:after="0"/>
        <w:ind w:left="2268" w:hanging="425"/>
        <w:jc w:val="both"/>
        <w:rPr>
          <w:rFonts w:ascii="Century Gothic" w:hAnsi="Century Gothic" w:cs="Arial"/>
        </w:rPr>
      </w:pPr>
      <w:r w:rsidRPr="00A05129">
        <w:rPr>
          <w:rFonts w:ascii="Century Gothic" w:hAnsi="Century Gothic" w:cs="Arial"/>
        </w:rPr>
        <w:t>Loss of confidentiality</w:t>
      </w:r>
    </w:p>
    <w:p w14:paraId="440DF0DB" w14:textId="77777777" w:rsidR="00D42B14" w:rsidRPr="00A05129" w:rsidRDefault="00D42B14" w:rsidP="000549AE">
      <w:pPr>
        <w:pStyle w:val="ListParagraph"/>
        <w:numPr>
          <w:ilvl w:val="0"/>
          <w:numId w:val="2"/>
        </w:numPr>
        <w:spacing w:after="0"/>
        <w:ind w:left="2268" w:hanging="425"/>
        <w:jc w:val="both"/>
        <w:rPr>
          <w:rFonts w:ascii="Century Gothic" w:hAnsi="Century Gothic" w:cs="Arial"/>
        </w:rPr>
      </w:pPr>
      <w:r w:rsidRPr="00A05129">
        <w:rPr>
          <w:rFonts w:ascii="Century Gothic" w:hAnsi="Century Gothic" w:cs="Arial"/>
        </w:rPr>
        <w:t>Any other significant economic or social disadvantage to the individual(s) concerned</w:t>
      </w:r>
    </w:p>
    <w:p w14:paraId="30E0A27C" w14:textId="6CC68FA3" w:rsidR="00A65633" w:rsidRPr="00A05129" w:rsidRDefault="00D42B14" w:rsidP="000549AE">
      <w:pPr>
        <w:spacing w:after="0"/>
        <w:jc w:val="both"/>
        <w:rPr>
          <w:rFonts w:ascii="Century Gothic" w:hAnsi="Century Gothic" w:cs="Arial"/>
          <w:sz w:val="22"/>
          <w:szCs w:val="22"/>
        </w:rPr>
      </w:pPr>
      <w:r w:rsidRPr="00A05129">
        <w:rPr>
          <w:rFonts w:ascii="Century Gothic" w:hAnsi="Century Gothic" w:cs="Arial"/>
          <w:sz w:val="22"/>
          <w:szCs w:val="22"/>
        </w:rPr>
        <w:t>If it’s likely that there will be a risk to people’s rights and freedoms, the DPO must notify the ICO.</w:t>
      </w:r>
      <w:r w:rsidR="00A65633" w:rsidRPr="00A05129">
        <w:rPr>
          <w:rFonts w:ascii="Century Gothic" w:hAnsi="Century Gothic" w:cs="Arial"/>
          <w:sz w:val="22"/>
          <w:szCs w:val="22"/>
        </w:rPr>
        <w:t xml:space="preserve"> Where the ICO must be notified, the DPO will do this via the </w:t>
      </w:r>
      <w:hyperlink r:id="rId11" w:history="1">
        <w:r w:rsidR="00A65633" w:rsidRPr="00A05129">
          <w:rPr>
            <w:rStyle w:val="Hyperlink"/>
            <w:rFonts w:ascii="Century Gothic" w:hAnsi="Century Gothic" w:cs="Arial"/>
            <w:sz w:val="22"/>
            <w:szCs w:val="22"/>
          </w:rPr>
          <w:t>‘report a breach’ page of the ICO website</w:t>
        </w:r>
      </w:hyperlink>
      <w:r w:rsidR="00A65633" w:rsidRPr="00A05129">
        <w:rPr>
          <w:rFonts w:ascii="Century Gothic" w:hAnsi="Century Gothic" w:cs="Arial"/>
          <w:sz w:val="22"/>
          <w:szCs w:val="22"/>
        </w:rPr>
        <w:t xml:space="preserve"> within 72 hours. </w:t>
      </w:r>
    </w:p>
    <w:p w14:paraId="65DDD4CD" w14:textId="45F540DF" w:rsidR="00D42B14" w:rsidRPr="00A05129" w:rsidRDefault="00A65633" w:rsidP="000549AE">
      <w:pPr>
        <w:spacing w:after="0"/>
        <w:jc w:val="both"/>
        <w:rPr>
          <w:rFonts w:ascii="Century Gothic" w:eastAsia="Times New Roman" w:hAnsi="Century Gothic" w:cs="Arial"/>
          <w:color w:val="212121"/>
          <w:sz w:val="22"/>
          <w:szCs w:val="22"/>
          <w:lang w:eastAsia="en-GB"/>
        </w:rPr>
      </w:pPr>
      <w:r w:rsidRPr="00A05129">
        <w:rPr>
          <w:rFonts w:ascii="Century Gothic" w:eastAsia="Times New Roman" w:hAnsi="Century Gothic" w:cs="Arial"/>
          <w:b/>
          <w:color w:val="212121"/>
          <w:sz w:val="22"/>
          <w:szCs w:val="22"/>
          <w:lang w:eastAsia="en-GB"/>
        </w:rPr>
        <w:t>Please note:</w:t>
      </w:r>
      <w:r w:rsidRPr="00A05129">
        <w:rPr>
          <w:rFonts w:ascii="Century Gothic" w:eastAsia="Times New Roman" w:hAnsi="Century Gothic" w:cs="Arial"/>
          <w:color w:val="212121"/>
          <w:sz w:val="22"/>
          <w:szCs w:val="22"/>
          <w:lang w:eastAsia="en-GB"/>
        </w:rPr>
        <w:t xml:space="preserve"> The Trust will prioritise the investigation and provide adequate resources as required.</w:t>
      </w:r>
    </w:p>
    <w:p w14:paraId="50F40993" w14:textId="77777777" w:rsidR="00A65633" w:rsidRPr="00A05129" w:rsidRDefault="00A65633" w:rsidP="000549AE">
      <w:pPr>
        <w:spacing w:after="0"/>
        <w:jc w:val="both"/>
        <w:rPr>
          <w:rFonts w:ascii="Century Gothic" w:hAnsi="Century Gothic" w:cs="Arial"/>
          <w:sz w:val="22"/>
          <w:szCs w:val="22"/>
        </w:rPr>
      </w:pPr>
    </w:p>
    <w:p w14:paraId="1B8F57A3" w14:textId="2205CBCC" w:rsidR="00A65633" w:rsidRDefault="00A65633" w:rsidP="000549AE">
      <w:pPr>
        <w:pStyle w:val="ListParagraph"/>
        <w:numPr>
          <w:ilvl w:val="0"/>
          <w:numId w:val="18"/>
        </w:numPr>
        <w:spacing w:after="0" w:line="240" w:lineRule="auto"/>
        <w:ind w:left="0" w:firstLine="0"/>
        <w:jc w:val="both"/>
        <w:rPr>
          <w:rFonts w:ascii="Century Gothic" w:eastAsia="Times New Roman" w:hAnsi="Century Gothic" w:cs="Arial"/>
          <w:color w:val="212121"/>
          <w:lang w:eastAsia="en-GB"/>
        </w:rPr>
      </w:pPr>
      <w:r w:rsidRPr="00A05129">
        <w:rPr>
          <w:rFonts w:ascii="Century Gothic" w:eastAsia="Times New Roman" w:hAnsi="Century Gothic" w:cs="Arial"/>
          <w:color w:val="212121"/>
          <w:lang w:eastAsia="en-GB"/>
        </w:rPr>
        <w:t>The DPO instigates an investigation and produces a report on the breach (whether or not reported to the ICO). The report includes:</w:t>
      </w:r>
    </w:p>
    <w:p w14:paraId="5368264D" w14:textId="77777777" w:rsidR="00A05129" w:rsidRPr="00A05129" w:rsidRDefault="00A05129" w:rsidP="000549AE">
      <w:pPr>
        <w:pStyle w:val="ListParagraph"/>
        <w:spacing w:after="0" w:line="240" w:lineRule="auto"/>
        <w:ind w:left="360"/>
        <w:jc w:val="both"/>
        <w:rPr>
          <w:rFonts w:ascii="Century Gothic" w:eastAsia="Times New Roman" w:hAnsi="Century Gothic" w:cs="Arial"/>
          <w:color w:val="212121"/>
          <w:lang w:eastAsia="en-GB"/>
        </w:rPr>
      </w:pPr>
    </w:p>
    <w:p w14:paraId="6521DB9C" w14:textId="77777777" w:rsidR="00A65633" w:rsidRPr="00A05129" w:rsidRDefault="00A65633" w:rsidP="000549AE">
      <w:pPr>
        <w:pStyle w:val="ListParagraph"/>
        <w:numPr>
          <w:ilvl w:val="0"/>
          <w:numId w:val="15"/>
        </w:numPr>
        <w:spacing w:after="0" w:line="240" w:lineRule="auto"/>
        <w:jc w:val="both"/>
        <w:rPr>
          <w:rFonts w:ascii="Century Gothic" w:eastAsia="Times New Roman" w:hAnsi="Century Gothic" w:cs="Arial"/>
          <w:color w:val="212121"/>
          <w:lang w:eastAsia="en-GB"/>
        </w:rPr>
      </w:pPr>
      <w:r w:rsidRPr="00A05129">
        <w:rPr>
          <w:rFonts w:ascii="Century Gothic" w:eastAsia="Times New Roman" w:hAnsi="Century Gothic" w:cs="Arial"/>
          <w:color w:val="212121"/>
          <w:lang w:eastAsia="en-GB"/>
        </w:rPr>
        <w:t>how it happened and extent of the breach</w:t>
      </w:r>
    </w:p>
    <w:p w14:paraId="5EF2DB61" w14:textId="77777777" w:rsidR="00A65633" w:rsidRPr="00A05129" w:rsidRDefault="00A65633" w:rsidP="000549AE">
      <w:pPr>
        <w:pStyle w:val="ListParagraph"/>
        <w:numPr>
          <w:ilvl w:val="0"/>
          <w:numId w:val="15"/>
        </w:numPr>
        <w:spacing w:after="0" w:line="240" w:lineRule="auto"/>
        <w:jc w:val="both"/>
        <w:rPr>
          <w:rFonts w:ascii="Century Gothic" w:eastAsia="Times New Roman" w:hAnsi="Century Gothic" w:cs="Arial"/>
          <w:color w:val="212121"/>
          <w:lang w:eastAsia="en-GB"/>
        </w:rPr>
      </w:pPr>
      <w:r w:rsidRPr="00A05129">
        <w:rPr>
          <w:rFonts w:ascii="Century Gothic" w:eastAsia="Times New Roman" w:hAnsi="Century Gothic" w:cs="Arial"/>
          <w:color w:val="212121"/>
          <w:lang w:eastAsia="en-GB"/>
        </w:rPr>
        <w:t>whether it could have been prevented.</w:t>
      </w:r>
    </w:p>
    <w:p w14:paraId="25D70962" w14:textId="77777777" w:rsidR="00A65633" w:rsidRPr="00A05129" w:rsidRDefault="00A65633" w:rsidP="000549AE">
      <w:pPr>
        <w:pStyle w:val="ListParagraph"/>
        <w:numPr>
          <w:ilvl w:val="0"/>
          <w:numId w:val="15"/>
        </w:numPr>
        <w:spacing w:after="0" w:line="240" w:lineRule="auto"/>
        <w:jc w:val="both"/>
        <w:rPr>
          <w:rFonts w:ascii="Century Gothic" w:eastAsia="Times New Roman" w:hAnsi="Century Gothic" w:cs="Arial"/>
          <w:bCs/>
          <w:color w:val="212121"/>
          <w:lang w:eastAsia="en-GB"/>
        </w:rPr>
      </w:pPr>
      <w:r w:rsidRPr="00A05129">
        <w:rPr>
          <w:rFonts w:ascii="Century Gothic" w:hAnsi="Century Gothic" w:cs="Arial"/>
          <w:bCs/>
        </w:rPr>
        <w:t>Academy measures taken immediately to mitigate the risk to the individuals</w:t>
      </w:r>
    </w:p>
    <w:p w14:paraId="458FB2B8" w14:textId="77777777" w:rsidR="00A65633" w:rsidRPr="00A05129" w:rsidRDefault="00A65633" w:rsidP="000549AE">
      <w:pPr>
        <w:pStyle w:val="ListParagraph"/>
        <w:numPr>
          <w:ilvl w:val="0"/>
          <w:numId w:val="15"/>
        </w:numPr>
        <w:spacing w:after="0" w:line="240" w:lineRule="auto"/>
        <w:jc w:val="both"/>
        <w:rPr>
          <w:rFonts w:ascii="Century Gothic" w:hAnsi="Century Gothic" w:cs="Arial"/>
          <w:bCs/>
        </w:rPr>
      </w:pPr>
      <w:r w:rsidRPr="00A05129">
        <w:rPr>
          <w:rFonts w:ascii="Century Gothic" w:hAnsi="Century Gothic" w:cs="Arial"/>
          <w:bCs/>
        </w:rPr>
        <w:t>The risks to the data subjects (individuals) because of the breach:</w:t>
      </w:r>
    </w:p>
    <w:p w14:paraId="34C80693" w14:textId="77777777" w:rsidR="00A65633" w:rsidRPr="00A05129" w:rsidRDefault="00A65633" w:rsidP="000549AE">
      <w:pPr>
        <w:pStyle w:val="ListParagraph"/>
        <w:numPr>
          <w:ilvl w:val="0"/>
          <w:numId w:val="15"/>
        </w:numPr>
        <w:spacing w:after="0" w:line="240" w:lineRule="auto"/>
        <w:jc w:val="both"/>
        <w:rPr>
          <w:rFonts w:ascii="Century Gothic" w:hAnsi="Century Gothic" w:cs="Arial"/>
          <w:bCs/>
        </w:rPr>
      </w:pPr>
      <w:r w:rsidRPr="00A05129">
        <w:rPr>
          <w:rFonts w:ascii="Century Gothic" w:hAnsi="Century Gothic" w:cs="Arial"/>
          <w:bCs/>
        </w:rPr>
        <w:t>Any security measures in place that will protect the information:</w:t>
      </w:r>
    </w:p>
    <w:p w14:paraId="78B1050C" w14:textId="77777777" w:rsidR="00A65633" w:rsidRPr="00A05129" w:rsidRDefault="00A65633" w:rsidP="000549AE">
      <w:pPr>
        <w:pStyle w:val="ListParagraph"/>
        <w:numPr>
          <w:ilvl w:val="0"/>
          <w:numId w:val="15"/>
        </w:numPr>
        <w:spacing w:after="0" w:line="240" w:lineRule="auto"/>
        <w:jc w:val="both"/>
        <w:rPr>
          <w:rFonts w:ascii="Century Gothic" w:hAnsi="Century Gothic" w:cs="Arial"/>
          <w:bCs/>
        </w:rPr>
      </w:pPr>
      <w:r w:rsidRPr="00A05129">
        <w:rPr>
          <w:rFonts w:ascii="Century Gothic" w:hAnsi="Century Gothic" w:cs="Arial"/>
          <w:bCs/>
        </w:rPr>
        <w:t>Required actions and development areas following the personal data breach to prevent re-occurrence</w:t>
      </w:r>
    </w:p>
    <w:p w14:paraId="008C25B6" w14:textId="77777777" w:rsidR="00A65633" w:rsidRPr="00A05129" w:rsidRDefault="00A65633" w:rsidP="000549AE">
      <w:pPr>
        <w:spacing w:after="0"/>
        <w:ind w:left="720"/>
        <w:jc w:val="both"/>
        <w:rPr>
          <w:rFonts w:ascii="Century Gothic" w:hAnsi="Century Gothic" w:cs="Arial"/>
          <w:sz w:val="22"/>
          <w:szCs w:val="22"/>
        </w:rPr>
      </w:pPr>
    </w:p>
    <w:p w14:paraId="0A39B51C" w14:textId="6F8641A1" w:rsidR="00D42B14" w:rsidRPr="007214D7" w:rsidRDefault="00D42B14" w:rsidP="000549AE">
      <w:pPr>
        <w:pStyle w:val="ListParagraph"/>
        <w:numPr>
          <w:ilvl w:val="0"/>
          <w:numId w:val="20"/>
        </w:numPr>
        <w:spacing w:after="0"/>
        <w:ind w:left="0" w:firstLine="0"/>
        <w:jc w:val="both"/>
        <w:rPr>
          <w:rFonts w:ascii="Century Gothic" w:hAnsi="Century Gothic" w:cs="Arial"/>
        </w:rPr>
      </w:pPr>
      <w:r w:rsidRPr="007214D7">
        <w:rPr>
          <w:rFonts w:ascii="Century Gothic" w:hAnsi="Century Gothic" w:cs="Arial"/>
        </w:rPr>
        <w:t xml:space="preserve">The DPO will document the decision (either way), in case it is challenged at a later date by the ICO or an individual affected by the breach. Documented decisions will be stored </w:t>
      </w:r>
      <w:r w:rsidR="00A65633" w:rsidRPr="007214D7">
        <w:rPr>
          <w:rFonts w:ascii="Century Gothic" w:hAnsi="Century Gothic" w:cs="Arial"/>
        </w:rPr>
        <w:t>on the secure private area of the Trust’s Office 365 The Trust will provide an overview of data breaches in the following way:</w:t>
      </w:r>
    </w:p>
    <w:p w14:paraId="0C90BE85" w14:textId="77777777" w:rsidR="007214D7" w:rsidRPr="00A05129" w:rsidRDefault="007214D7" w:rsidP="000549AE">
      <w:pPr>
        <w:spacing w:after="0"/>
        <w:jc w:val="both"/>
        <w:rPr>
          <w:rFonts w:ascii="Century Gothic" w:hAnsi="Century Gothic" w:cs="Arial"/>
          <w:sz w:val="22"/>
          <w:szCs w:val="22"/>
        </w:rPr>
      </w:pPr>
    </w:p>
    <w:p w14:paraId="0D16DA42" w14:textId="6EF820E0" w:rsidR="00A65633" w:rsidRPr="007214D7" w:rsidRDefault="00A65633" w:rsidP="000549AE">
      <w:pPr>
        <w:pStyle w:val="ListParagraph"/>
        <w:numPr>
          <w:ilvl w:val="0"/>
          <w:numId w:val="19"/>
        </w:numPr>
        <w:spacing w:after="0"/>
        <w:jc w:val="both"/>
        <w:rPr>
          <w:rFonts w:ascii="Century Gothic" w:hAnsi="Century Gothic" w:cs="Arial"/>
        </w:rPr>
      </w:pPr>
      <w:r w:rsidRPr="007214D7">
        <w:rPr>
          <w:rFonts w:ascii="Century Gothic" w:hAnsi="Century Gothic" w:cs="Arial"/>
        </w:rPr>
        <w:t>Major data breaches and whether reported to the ICO with a full DPO report</w:t>
      </w:r>
    </w:p>
    <w:p w14:paraId="0E24534F" w14:textId="6A720573" w:rsidR="00A65633" w:rsidRPr="007214D7" w:rsidRDefault="00A65633" w:rsidP="000549AE">
      <w:pPr>
        <w:pStyle w:val="ListParagraph"/>
        <w:numPr>
          <w:ilvl w:val="0"/>
          <w:numId w:val="19"/>
        </w:numPr>
        <w:spacing w:after="0"/>
        <w:jc w:val="both"/>
        <w:rPr>
          <w:rFonts w:ascii="Century Gothic" w:hAnsi="Century Gothic" w:cs="Arial"/>
        </w:rPr>
      </w:pPr>
      <w:r w:rsidRPr="007214D7">
        <w:rPr>
          <w:rFonts w:ascii="Century Gothic" w:hAnsi="Century Gothic" w:cs="Arial"/>
        </w:rPr>
        <w:t>Minor data breaches logged where a full DPO report was not required</w:t>
      </w:r>
    </w:p>
    <w:p w14:paraId="34879B4A" w14:textId="77777777" w:rsidR="00A65633" w:rsidRPr="00A05129" w:rsidRDefault="00A65633" w:rsidP="000549AE">
      <w:pPr>
        <w:spacing w:after="0"/>
        <w:jc w:val="both"/>
        <w:rPr>
          <w:rFonts w:ascii="Century Gothic" w:hAnsi="Century Gothic" w:cs="Arial"/>
          <w:sz w:val="22"/>
          <w:szCs w:val="22"/>
        </w:rPr>
      </w:pPr>
    </w:p>
    <w:p w14:paraId="7B1EDF86" w14:textId="2653C424" w:rsidR="00A65633" w:rsidRPr="007214D7" w:rsidRDefault="00A65633" w:rsidP="000549AE">
      <w:pPr>
        <w:pStyle w:val="ListParagraph"/>
        <w:numPr>
          <w:ilvl w:val="0"/>
          <w:numId w:val="21"/>
        </w:numPr>
        <w:spacing w:after="0"/>
        <w:ind w:left="0" w:firstLine="0"/>
        <w:jc w:val="both"/>
        <w:rPr>
          <w:rFonts w:ascii="Century Gothic" w:eastAsia="Times New Roman" w:hAnsi="Century Gothic" w:cs="Arial"/>
          <w:color w:val="212121"/>
          <w:lang w:eastAsia="en-GB"/>
        </w:rPr>
      </w:pPr>
      <w:r w:rsidRPr="007214D7">
        <w:rPr>
          <w:rFonts w:ascii="Century Gothic" w:eastAsia="Times New Roman" w:hAnsi="Century Gothic" w:cs="Arial"/>
          <w:color w:val="212121"/>
          <w:lang w:eastAsia="en-GB"/>
        </w:rPr>
        <w:t xml:space="preserve">The DPO data breach reports are reviewed by the CEO and the </w:t>
      </w:r>
      <w:r w:rsidR="000549AE">
        <w:rPr>
          <w:rFonts w:ascii="Century Gothic" w:eastAsia="Times New Roman" w:hAnsi="Century Gothic" w:cs="Arial"/>
          <w:color w:val="212121"/>
          <w:lang w:eastAsia="en-GB"/>
        </w:rPr>
        <w:t>Audit &amp; Risk Committee</w:t>
      </w:r>
      <w:r w:rsidRPr="007214D7">
        <w:rPr>
          <w:rFonts w:ascii="Century Gothic" w:eastAsia="Times New Roman" w:hAnsi="Century Gothic" w:cs="Arial"/>
          <w:color w:val="212121"/>
          <w:lang w:eastAsia="en-GB"/>
        </w:rPr>
        <w:t xml:space="preserve"> (delegated from the Board of Trustees to approve the actions.</w:t>
      </w:r>
      <w:r w:rsidR="000549AE">
        <w:rPr>
          <w:rFonts w:ascii="Century Gothic" w:eastAsia="Times New Roman" w:hAnsi="Century Gothic" w:cs="Arial"/>
          <w:color w:val="212121"/>
          <w:lang w:eastAsia="en-GB"/>
        </w:rPr>
        <w:t>)</w:t>
      </w:r>
      <w:bookmarkStart w:id="1" w:name="_GoBack"/>
      <w:bookmarkEnd w:id="1"/>
    </w:p>
    <w:p w14:paraId="3E66718C" w14:textId="320970CC" w:rsidR="00A65633" w:rsidRPr="00A05129" w:rsidRDefault="00A65633" w:rsidP="000549AE">
      <w:pPr>
        <w:spacing w:after="0"/>
        <w:jc w:val="both"/>
        <w:rPr>
          <w:rFonts w:ascii="Century Gothic" w:hAnsi="Century Gothic" w:cs="Arial"/>
          <w:sz w:val="22"/>
          <w:szCs w:val="22"/>
        </w:rPr>
      </w:pPr>
    </w:p>
    <w:p w14:paraId="3E0E9E25" w14:textId="77777777" w:rsidR="00A65633" w:rsidRPr="00A05129" w:rsidRDefault="00A65633" w:rsidP="000549AE">
      <w:pPr>
        <w:spacing w:after="0"/>
        <w:jc w:val="both"/>
        <w:rPr>
          <w:rFonts w:ascii="Century Gothic" w:hAnsi="Century Gothic" w:cs="Arial"/>
          <w:b/>
          <w:sz w:val="22"/>
          <w:szCs w:val="22"/>
        </w:rPr>
      </w:pPr>
      <w:r w:rsidRPr="00A05129">
        <w:rPr>
          <w:rFonts w:ascii="Century Gothic" w:hAnsi="Century Gothic" w:cs="Arial"/>
          <w:b/>
          <w:sz w:val="22"/>
          <w:szCs w:val="22"/>
        </w:rPr>
        <w:t xml:space="preserve">Actions to </w:t>
      </w:r>
      <w:proofErr w:type="spellStart"/>
      <w:r w:rsidRPr="00A05129">
        <w:rPr>
          <w:rFonts w:ascii="Century Gothic" w:hAnsi="Century Gothic" w:cs="Arial"/>
          <w:b/>
          <w:sz w:val="22"/>
          <w:szCs w:val="22"/>
        </w:rPr>
        <w:t>minimise</w:t>
      </w:r>
      <w:proofErr w:type="spellEnd"/>
      <w:r w:rsidRPr="00A05129">
        <w:rPr>
          <w:rFonts w:ascii="Century Gothic" w:hAnsi="Century Gothic" w:cs="Arial"/>
          <w:b/>
          <w:sz w:val="22"/>
          <w:szCs w:val="22"/>
        </w:rPr>
        <w:t xml:space="preserve"> the impact of data breaches</w:t>
      </w:r>
    </w:p>
    <w:p w14:paraId="061C5915" w14:textId="73568D60" w:rsidR="007214D7" w:rsidRDefault="00A65633" w:rsidP="000549AE">
      <w:pPr>
        <w:spacing w:after="0"/>
        <w:jc w:val="both"/>
        <w:rPr>
          <w:rFonts w:ascii="Century Gothic" w:hAnsi="Century Gothic" w:cs="Arial"/>
          <w:sz w:val="22"/>
          <w:szCs w:val="22"/>
        </w:rPr>
      </w:pPr>
      <w:r w:rsidRPr="00A05129">
        <w:rPr>
          <w:rFonts w:ascii="Century Gothic" w:hAnsi="Century Gothic" w:cs="Arial"/>
          <w:sz w:val="22"/>
          <w:szCs w:val="22"/>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5A7A9F5F" w14:textId="2D40F753" w:rsidR="000549AE" w:rsidRDefault="000549AE" w:rsidP="000549AE">
      <w:pPr>
        <w:spacing w:after="0"/>
        <w:jc w:val="both"/>
        <w:rPr>
          <w:rFonts w:ascii="Century Gothic" w:hAnsi="Century Gothic" w:cs="Arial"/>
          <w:sz w:val="22"/>
          <w:szCs w:val="22"/>
        </w:rPr>
      </w:pPr>
    </w:p>
    <w:p w14:paraId="305CEFA3" w14:textId="77777777" w:rsidR="000549AE" w:rsidRPr="00A05129" w:rsidRDefault="000549AE" w:rsidP="000549AE">
      <w:pPr>
        <w:spacing w:after="0"/>
        <w:jc w:val="both"/>
        <w:rPr>
          <w:rFonts w:ascii="Century Gothic" w:hAnsi="Century Gothic" w:cs="Arial"/>
          <w:sz w:val="22"/>
          <w:szCs w:val="22"/>
        </w:rPr>
      </w:pPr>
    </w:p>
    <w:p w14:paraId="13ECA36C" w14:textId="77777777" w:rsidR="00A65633" w:rsidRPr="00A05129" w:rsidRDefault="00A65633" w:rsidP="000549AE">
      <w:pPr>
        <w:pStyle w:val="Caption1"/>
        <w:jc w:val="both"/>
        <w:rPr>
          <w:rFonts w:ascii="Century Gothic" w:hAnsi="Century Gothic"/>
          <w:i w:val="0"/>
          <w:color w:val="auto"/>
          <w:sz w:val="22"/>
          <w:szCs w:val="22"/>
        </w:rPr>
      </w:pPr>
      <w:r w:rsidRPr="00A05129">
        <w:rPr>
          <w:rFonts w:ascii="Century Gothic" w:hAnsi="Century Gothic"/>
          <w:i w:val="0"/>
          <w:color w:val="auto"/>
          <w:sz w:val="22"/>
          <w:szCs w:val="22"/>
        </w:rPr>
        <w:lastRenderedPageBreak/>
        <w:t>This will include:</w:t>
      </w:r>
    </w:p>
    <w:p w14:paraId="78462E9D" w14:textId="77777777" w:rsidR="00A65633" w:rsidRPr="00A05129" w:rsidRDefault="00A65633" w:rsidP="000549AE">
      <w:pPr>
        <w:pStyle w:val="Caption1"/>
        <w:jc w:val="both"/>
        <w:rPr>
          <w:rFonts w:ascii="Century Gothic" w:hAnsi="Century Gothic"/>
          <w:b/>
          <w:i w:val="0"/>
          <w:color w:val="auto"/>
          <w:sz w:val="22"/>
          <w:szCs w:val="22"/>
        </w:rPr>
      </w:pPr>
      <w:r w:rsidRPr="00A05129">
        <w:rPr>
          <w:rFonts w:ascii="Century Gothic" w:hAnsi="Century Gothic"/>
          <w:b/>
          <w:i w:val="0"/>
          <w:color w:val="auto"/>
          <w:sz w:val="22"/>
          <w:szCs w:val="22"/>
        </w:rPr>
        <w:t>Sensitive information being disclosed via email (including safeguarding records)</w:t>
      </w:r>
    </w:p>
    <w:p w14:paraId="14F30C84" w14:textId="4F2844D4" w:rsidR="007214D7" w:rsidRPr="000549AE" w:rsidRDefault="00A65633" w:rsidP="000549AE">
      <w:pPr>
        <w:pStyle w:val="Caption1"/>
        <w:numPr>
          <w:ilvl w:val="0"/>
          <w:numId w:val="3"/>
        </w:numPr>
        <w:jc w:val="both"/>
        <w:rPr>
          <w:rFonts w:ascii="Century Gothic" w:hAnsi="Century Gothic"/>
          <w:i w:val="0"/>
          <w:color w:val="auto"/>
          <w:sz w:val="22"/>
          <w:szCs w:val="22"/>
        </w:rPr>
      </w:pPr>
      <w:r w:rsidRPr="00A05129">
        <w:rPr>
          <w:rFonts w:ascii="Century Gothic" w:hAnsi="Century Gothic"/>
          <w:i w:val="0"/>
          <w:color w:val="auto"/>
          <w:sz w:val="22"/>
          <w:szCs w:val="22"/>
        </w:rPr>
        <w:t xml:space="preserve">If special category data (sensitive information) is accidentally made available via email to </w:t>
      </w:r>
      <w:proofErr w:type="spellStart"/>
      <w:r w:rsidRPr="00A05129">
        <w:rPr>
          <w:rFonts w:ascii="Century Gothic" w:hAnsi="Century Gothic"/>
          <w:i w:val="0"/>
          <w:color w:val="auto"/>
          <w:sz w:val="22"/>
          <w:szCs w:val="22"/>
        </w:rPr>
        <w:t>unauthorised</w:t>
      </w:r>
      <w:proofErr w:type="spellEnd"/>
      <w:r w:rsidRPr="00A05129">
        <w:rPr>
          <w:rFonts w:ascii="Century Gothic" w:hAnsi="Century Gothic"/>
          <w:i w:val="0"/>
          <w:color w:val="auto"/>
          <w:sz w:val="22"/>
          <w:szCs w:val="22"/>
        </w:rPr>
        <w:t xml:space="preserve"> individuals, the sender must attempt to recall the email as soon as they become aware of the error</w:t>
      </w:r>
    </w:p>
    <w:p w14:paraId="71618257" w14:textId="5CDFE8CE" w:rsidR="00A65633" w:rsidRPr="00A05129" w:rsidRDefault="00A65633" w:rsidP="000549AE">
      <w:pPr>
        <w:pStyle w:val="Caption1"/>
        <w:numPr>
          <w:ilvl w:val="0"/>
          <w:numId w:val="3"/>
        </w:numPr>
        <w:jc w:val="both"/>
        <w:rPr>
          <w:rFonts w:ascii="Century Gothic" w:hAnsi="Century Gothic"/>
          <w:i w:val="0"/>
          <w:color w:val="auto"/>
          <w:sz w:val="22"/>
          <w:szCs w:val="22"/>
        </w:rPr>
      </w:pPr>
      <w:r w:rsidRPr="00A05129">
        <w:rPr>
          <w:rFonts w:ascii="Century Gothic" w:hAnsi="Century Gothic"/>
          <w:i w:val="0"/>
          <w:color w:val="auto"/>
          <w:sz w:val="22"/>
          <w:szCs w:val="22"/>
        </w:rPr>
        <w:t>Members of staff who receive personal data sent in error must alert the sender and the DPO as soon as they become aware of the error</w:t>
      </w:r>
    </w:p>
    <w:p w14:paraId="44D23499" w14:textId="77777777" w:rsidR="00A65633" w:rsidRPr="00A05129" w:rsidRDefault="00A65633" w:rsidP="000549AE">
      <w:pPr>
        <w:pStyle w:val="Caption1"/>
        <w:numPr>
          <w:ilvl w:val="0"/>
          <w:numId w:val="3"/>
        </w:numPr>
        <w:jc w:val="both"/>
        <w:rPr>
          <w:rFonts w:ascii="Century Gothic" w:hAnsi="Century Gothic"/>
          <w:i w:val="0"/>
          <w:color w:val="auto"/>
          <w:sz w:val="22"/>
          <w:szCs w:val="22"/>
        </w:rPr>
      </w:pPr>
      <w:r w:rsidRPr="00A05129">
        <w:rPr>
          <w:rFonts w:ascii="Century Gothic" w:hAnsi="Century Gothic"/>
          <w:i w:val="0"/>
          <w:color w:val="auto"/>
          <w:sz w:val="22"/>
          <w:szCs w:val="22"/>
        </w:rPr>
        <w:t>If the sender is unavailable or cannot recall the email for any reason, the Principal will ask the ICT department to recall it</w:t>
      </w:r>
    </w:p>
    <w:p w14:paraId="4F38A820" w14:textId="78621ACD" w:rsidR="00A65633" w:rsidRPr="00A05129" w:rsidRDefault="00A65633" w:rsidP="000549AE">
      <w:pPr>
        <w:pStyle w:val="Caption1"/>
        <w:numPr>
          <w:ilvl w:val="0"/>
          <w:numId w:val="3"/>
        </w:numPr>
        <w:jc w:val="both"/>
        <w:rPr>
          <w:rFonts w:ascii="Century Gothic" w:hAnsi="Century Gothic"/>
          <w:i w:val="0"/>
          <w:color w:val="auto"/>
          <w:sz w:val="22"/>
          <w:szCs w:val="22"/>
        </w:rPr>
      </w:pPr>
      <w:r w:rsidRPr="00A05129">
        <w:rPr>
          <w:rFonts w:ascii="Century Gothic" w:hAnsi="Century Gothic"/>
          <w:i w:val="0"/>
          <w:color w:val="auto"/>
          <w:sz w:val="22"/>
          <w:szCs w:val="22"/>
        </w:rPr>
        <w:t xml:space="preserve">In any cases where the recall is unsuccessful, the Principal or DPO will contact the relevant </w:t>
      </w:r>
      <w:proofErr w:type="spellStart"/>
      <w:r w:rsidRPr="00A05129">
        <w:rPr>
          <w:rFonts w:ascii="Century Gothic" w:hAnsi="Century Gothic"/>
          <w:i w:val="0"/>
          <w:color w:val="auto"/>
          <w:sz w:val="22"/>
          <w:szCs w:val="22"/>
        </w:rPr>
        <w:t>unauthorised</w:t>
      </w:r>
      <w:proofErr w:type="spellEnd"/>
      <w:r w:rsidRPr="00A05129">
        <w:rPr>
          <w:rFonts w:ascii="Century Gothic" w:hAnsi="Century Gothic"/>
          <w:i w:val="0"/>
          <w:color w:val="auto"/>
          <w:sz w:val="22"/>
          <w:szCs w:val="22"/>
        </w:rPr>
        <w:t xml:space="preserve"> individuals who received the email, explain that the information was sent in error, and request that those individuals delete the information and do not share, publish, save or replicate it in any way</w:t>
      </w:r>
    </w:p>
    <w:p w14:paraId="4B96A599" w14:textId="741925B8" w:rsidR="00A65633" w:rsidRPr="00A05129" w:rsidRDefault="00A65633" w:rsidP="000549AE">
      <w:pPr>
        <w:pStyle w:val="Caption1"/>
        <w:numPr>
          <w:ilvl w:val="0"/>
          <w:numId w:val="3"/>
        </w:numPr>
        <w:jc w:val="both"/>
        <w:rPr>
          <w:rFonts w:ascii="Century Gothic" w:hAnsi="Century Gothic"/>
          <w:i w:val="0"/>
          <w:color w:val="auto"/>
          <w:sz w:val="22"/>
          <w:szCs w:val="22"/>
        </w:rPr>
      </w:pPr>
      <w:r w:rsidRPr="00A05129">
        <w:rPr>
          <w:rFonts w:ascii="Century Gothic" w:hAnsi="Century Gothic"/>
          <w:i w:val="0"/>
          <w:color w:val="auto"/>
          <w:sz w:val="22"/>
          <w:szCs w:val="22"/>
        </w:rPr>
        <w:t>The DPO will ensure we receive a written response from all the individuals who received the data, confirming that they have complied with this request</w:t>
      </w:r>
    </w:p>
    <w:p w14:paraId="6D5BAD7B" w14:textId="77777777" w:rsidR="00A65633" w:rsidRPr="00A05129" w:rsidRDefault="00A65633" w:rsidP="000549AE">
      <w:pPr>
        <w:pStyle w:val="Caption1"/>
        <w:numPr>
          <w:ilvl w:val="0"/>
          <w:numId w:val="3"/>
        </w:numPr>
        <w:jc w:val="both"/>
        <w:rPr>
          <w:rFonts w:ascii="Century Gothic" w:hAnsi="Century Gothic"/>
          <w:i w:val="0"/>
          <w:color w:val="auto"/>
          <w:sz w:val="22"/>
          <w:szCs w:val="22"/>
        </w:rPr>
      </w:pPr>
      <w:r w:rsidRPr="00A05129">
        <w:rPr>
          <w:rFonts w:ascii="Century Gothic" w:hAnsi="Century Gothic"/>
          <w:i w:val="0"/>
          <w:color w:val="auto"/>
          <w:sz w:val="22"/>
          <w:szCs w:val="22"/>
        </w:rPr>
        <w:t>The DPO will carry out an internet search to check that the information has not been made public; if it has, we will contact the publisher/website owner or administrator to request that the information is removed from their website</w:t>
      </w:r>
    </w:p>
    <w:p w14:paraId="2F39235E" w14:textId="77777777" w:rsidR="00A65633" w:rsidRPr="00A05129" w:rsidRDefault="00A65633" w:rsidP="000549AE">
      <w:pPr>
        <w:spacing w:after="0"/>
        <w:jc w:val="both"/>
        <w:rPr>
          <w:rFonts w:ascii="Century Gothic" w:hAnsi="Century Gothic" w:cs="Arial"/>
          <w:sz w:val="22"/>
          <w:szCs w:val="22"/>
        </w:rPr>
      </w:pPr>
    </w:p>
    <w:p w14:paraId="2855B9A9" w14:textId="1DB74CB1" w:rsidR="00D42B14" w:rsidRPr="000549AE" w:rsidRDefault="000549AE" w:rsidP="000549AE">
      <w:pPr>
        <w:pStyle w:val="Caption1"/>
        <w:jc w:val="right"/>
        <w:rPr>
          <w:rFonts w:ascii="Century Gothic" w:hAnsi="Century Gothic"/>
          <w:i w:val="0"/>
          <w:color w:val="auto"/>
          <w:sz w:val="16"/>
          <w:szCs w:val="16"/>
        </w:rPr>
      </w:pPr>
      <w:r w:rsidRPr="000549AE">
        <w:rPr>
          <w:rFonts w:ascii="Century Gothic" w:hAnsi="Century Gothic" w:cs="Arial"/>
          <w:b/>
          <w:i w:val="0"/>
          <w:color w:val="auto"/>
          <w:sz w:val="16"/>
          <w:szCs w:val="16"/>
        </w:rPr>
        <w:t>31 March 2020</w:t>
      </w:r>
    </w:p>
    <w:sectPr w:rsidR="00D42B14" w:rsidRPr="000549AE" w:rsidSect="007214D7">
      <w:headerReference w:type="default" r:id="rId12"/>
      <w:pgSz w:w="11906" w:h="16838"/>
      <w:pgMar w:top="567" w:right="1440" w:bottom="794"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B869" w14:textId="77777777" w:rsidR="007214D7" w:rsidRDefault="007214D7" w:rsidP="007214D7">
      <w:pPr>
        <w:spacing w:before="0" w:after="0"/>
      </w:pPr>
      <w:r>
        <w:separator/>
      </w:r>
    </w:p>
  </w:endnote>
  <w:endnote w:type="continuationSeparator" w:id="0">
    <w:p w14:paraId="02CC0E2C" w14:textId="77777777" w:rsidR="007214D7" w:rsidRDefault="007214D7" w:rsidP="007214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A4FE2" w14:textId="77777777" w:rsidR="007214D7" w:rsidRDefault="007214D7" w:rsidP="007214D7">
      <w:pPr>
        <w:spacing w:before="0" w:after="0"/>
      </w:pPr>
      <w:r>
        <w:separator/>
      </w:r>
    </w:p>
  </w:footnote>
  <w:footnote w:type="continuationSeparator" w:id="0">
    <w:p w14:paraId="0279BC44" w14:textId="77777777" w:rsidR="007214D7" w:rsidRDefault="007214D7" w:rsidP="007214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5CF8" w14:textId="0B65D7B1" w:rsidR="007214D7" w:rsidRDefault="007214D7">
    <w:pPr>
      <w:pStyle w:val="Header"/>
    </w:pPr>
    <w:r>
      <w:rPr>
        <w:noProof/>
      </w:rPr>
      <w:drawing>
        <wp:inline distT="0" distB="0" distL="0" distR="0" wp14:anchorId="5D106542" wp14:editId="035EAB59">
          <wp:extent cx="5731510" cy="1252220"/>
          <wp:effectExtent l="0" t="0" r="254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1252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EF16A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B198E"/>
    <w:multiLevelType w:val="hybridMultilevel"/>
    <w:tmpl w:val="2A66EF1A"/>
    <w:lvl w:ilvl="0" w:tplc="F1D04E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77EB2"/>
    <w:multiLevelType w:val="hybridMultilevel"/>
    <w:tmpl w:val="1C985A7C"/>
    <w:lvl w:ilvl="0" w:tplc="E9341DD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564D1D"/>
    <w:multiLevelType w:val="hybridMultilevel"/>
    <w:tmpl w:val="DC240782"/>
    <w:lvl w:ilvl="0" w:tplc="44E093E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C7AB0"/>
    <w:multiLevelType w:val="hybridMultilevel"/>
    <w:tmpl w:val="1884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51730"/>
    <w:multiLevelType w:val="hybridMultilevel"/>
    <w:tmpl w:val="9D1CB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6896"/>
    <w:multiLevelType w:val="hybridMultilevel"/>
    <w:tmpl w:val="41D4B5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50125E3"/>
    <w:multiLevelType w:val="hybridMultilevel"/>
    <w:tmpl w:val="83B2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F13DD"/>
    <w:multiLevelType w:val="hybridMultilevel"/>
    <w:tmpl w:val="95C29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AB03A6"/>
    <w:multiLevelType w:val="hybridMultilevel"/>
    <w:tmpl w:val="3948CF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52C42DC"/>
    <w:multiLevelType w:val="hybridMultilevel"/>
    <w:tmpl w:val="06D68D06"/>
    <w:lvl w:ilvl="0" w:tplc="393072A0">
      <w:start w:val="1"/>
      <w:numFmt w:val="decimal"/>
      <w:lvlText w:val="%1)"/>
      <w:lvlJc w:val="left"/>
      <w:pPr>
        <w:ind w:left="360" w:hanging="360"/>
      </w:pPr>
      <w:rPr>
        <w:rFonts w:hint="default"/>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914F92"/>
    <w:multiLevelType w:val="hybridMultilevel"/>
    <w:tmpl w:val="AD20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94F29"/>
    <w:multiLevelType w:val="hybridMultilevel"/>
    <w:tmpl w:val="1D02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A681D"/>
    <w:multiLevelType w:val="hybridMultilevel"/>
    <w:tmpl w:val="BB9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B191C"/>
    <w:multiLevelType w:val="hybridMultilevel"/>
    <w:tmpl w:val="1AE077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AF96E36"/>
    <w:multiLevelType w:val="hybridMultilevel"/>
    <w:tmpl w:val="176A9D0E"/>
    <w:lvl w:ilvl="0" w:tplc="1352923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31177A"/>
    <w:multiLevelType w:val="hybridMultilevel"/>
    <w:tmpl w:val="AF4ED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474EE6"/>
    <w:multiLevelType w:val="hybridMultilevel"/>
    <w:tmpl w:val="0F4ACFF8"/>
    <w:lvl w:ilvl="0" w:tplc="40CEAF8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5"/>
  </w:num>
  <w:num w:numId="5">
    <w:abstractNumId w:val="4"/>
  </w:num>
  <w:num w:numId="6">
    <w:abstractNumId w:val="15"/>
  </w:num>
  <w:num w:numId="7">
    <w:abstractNumId w:val="16"/>
  </w:num>
  <w:num w:numId="8">
    <w:abstractNumId w:val="8"/>
  </w:num>
  <w:num w:numId="9">
    <w:abstractNumId w:val="12"/>
  </w:num>
  <w:num w:numId="10">
    <w:abstractNumId w:val="10"/>
  </w:num>
  <w:num w:numId="11">
    <w:abstractNumId w:val="11"/>
  </w:num>
  <w:num w:numId="12">
    <w:abstractNumId w:val="1"/>
  </w:num>
  <w:num w:numId="13">
    <w:abstractNumId w:val="19"/>
  </w:num>
  <w:num w:numId="14">
    <w:abstractNumId w:val="13"/>
  </w:num>
  <w:num w:numId="15">
    <w:abstractNumId w:val="17"/>
  </w:num>
  <w:num w:numId="16">
    <w:abstractNumId w:val="6"/>
  </w:num>
  <w:num w:numId="17">
    <w:abstractNumId w:val="3"/>
  </w:num>
  <w:num w:numId="18">
    <w:abstractNumId w:val="2"/>
  </w:num>
  <w:num w:numId="19">
    <w:abstractNumId w:val="7"/>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14"/>
    <w:rsid w:val="000549AE"/>
    <w:rsid w:val="002A6883"/>
    <w:rsid w:val="004D49D2"/>
    <w:rsid w:val="007214D7"/>
    <w:rsid w:val="00A05129"/>
    <w:rsid w:val="00A65633"/>
    <w:rsid w:val="00D42B14"/>
    <w:rsid w:val="00E44339"/>
    <w:rsid w:val="00ED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250A"/>
  <w15:chartTrackingRefBased/>
  <w15:docId w15:val="{3A4C5460-1524-4344-854C-73C0CC13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B1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D42B14"/>
    <w:pPr>
      <w:keepNext/>
      <w:keepLines/>
      <w:spacing w:before="480"/>
      <w:outlineLvl w:val="0"/>
    </w:pPr>
    <w:rPr>
      <w:rFonts w:eastAsia="MS Gothic" w:cs="Arial"/>
      <w:b/>
      <w:bCs/>
      <w:sz w:val="28"/>
      <w:szCs w:val="20"/>
      <w:shd w:val="clear" w:color="auto" w:fill="FFFFFF"/>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B14"/>
    <w:rPr>
      <w:rFonts w:ascii="Arial" w:eastAsia="MS Gothic" w:hAnsi="Arial" w:cs="Arial"/>
      <w:b/>
      <w:bCs/>
      <w:sz w:val="28"/>
      <w:szCs w:val="20"/>
      <w:lang w:eastAsia="x-none"/>
    </w:rPr>
  </w:style>
  <w:style w:type="character" w:styleId="Hyperlink">
    <w:name w:val="Hyperlink"/>
    <w:uiPriority w:val="99"/>
    <w:unhideWhenUsed/>
    <w:qFormat/>
    <w:rsid w:val="00D42B14"/>
    <w:rPr>
      <w:rFonts w:ascii="Arial" w:hAnsi="Arial"/>
      <w:color w:val="0092CF"/>
      <w:sz w:val="20"/>
      <w:u w:val="single"/>
    </w:rPr>
  </w:style>
  <w:style w:type="paragraph" w:customStyle="1" w:styleId="Caption1">
    <w:name w:val="Caption 1"/>
    <w:basedOn w:val="Normal"/>
    <w:qFormat/>
    <w:rsid w:val="00D42B14"/>
    <w:rPr>
      <w:i/>
      <w:color w:val="F15F22"/>
    </w:rPr>
  </w:style>
  <w:style w:type="paragraph" w:styleId="ListParagraph">
    <w:name w:val="List Paragraph"/>
    <w:basedOn w:val="Normal"/>
    <w:uiPriority w:val="34"/>
    <w:qFormat/>
    <w:rsid w:val="00D42B14"/>
    <w:pPr>
      <w:spacing w:before="0" w:after="160" w:line="259" w:lineRule="auto"/>
      <w:ind w:left="720"/>
      <w:contextualSpacing/>
    </w:pPr>
    <w:rPr>
      <w:rFonts w:ascii="Calibri" w:eastAsia="Calibri" w:hAnsi="Calibri"/>
      <w:sz w:val="22"/>
      <w:szCs w:val="22"/>
      <w:lang w:val="en-GB"/>
    </w:rPr>
  </w:style>
  <w:style w:type="character" w:styleId="FollowedHyperlink">
    <w:name w:val="FollowedHyperlink"/>
    <w:basedOn w:val="DefaultParagraphFont"/>
    <w:uiPriority w:val="99"/>
    <w:semiHidden/>
    <w:unhideWhenUsed/>
    <w:rsid w:val="00E44339"/>
    <w:rPr>
      <w:color w:val="954F72" w:themeColor="followedHyperlink"/>
      <w:u w:val="single"/>
    </w:rPr>
  </w:style>
  <w:style w:type="paragraph" w:styleId="BalloonText">
    <w:name w:val="Balloon Text"/>
    <w:basedOn w:val="Normal"/>
    <w:link w:val="BalloonTextChar"/>
    <w:uiPriority w:val="99"/>
    <w:semiHidden/>
    <w:unhideWhenUsed/>
    <w:rsid w:val="00E4433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339"/>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A65633"/>
    <w:rPr>
      <w:sz w:val="16"/>
      <w:szCs w:val="16"/>
    </w:rPr>
  </w:style>
  <w:style w:type="paragraph" w:styleId="CommentText">
    <w:name w:val="annotation text"/>
    <w:basedOn w:val="Normal"/>
    <w:link w:val="CommentTextChar"/>
    <w:uiPriority w:val="99"/>
    <w:semiHidden/>
    <w:unhideWhenUsed/>
    <w:rsid w:val="00A65633"/>
    <w:rPr>
      <w:szCs w:val="20"/>
    </w:rPr>
  </w:style>
  <w:style w:type="character" w:customStyle="1" w:styleId="CommentTextChar">
    <w:name w:val="Comment Text Char"/>
    <w:basedOn w:val="DefaultParagraphFont"/>
    <w:link w:val="CommentText"/>
    <w:uiPriority w:val="99"/>
    <w:semiHidden/>
    <w:rsid w:val="00A65633"/>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65633"/>
    <w:rPr>
      <w:b/>
      <w:bCs/>
    </w:rPr>
  </w:style>
  <w:style w:type="character" w:customStyle="1" w:styleId="CommentSubjectChar">
    <w:name w:val="Comment Subject Char"/>
    <w:basedOn w:val="CommentTextChar"/>
    <w:link w:val="CommentSubject"/>
    <w:uiPriority w:val="99"/>
    <w:semiHidden/>
    <w:rsid w:val="00A65633"/>
    <w:rPr>
      <w:rFonts w:ascii="Arial" w:eastAsia="MS Mincho" w:hAnsi="Arial" w:cs="Times New Roman"/>
      <w:b/>
      <w:bCs/>
      <w:sz w:val="20"/>
      <w:szCs w:val="20"/>
      <w:lang w:val="en-US"/>
    </w:rPr>
  </w:style>
  <w:style w:type="paragraph" w:styleId="Header">
    <w:name w:val="header"/>
    <w:basedOn w:val="Normal"/>
    <w:link w:val="HeaderChar"/>
    <w:uiPriority w:val="99"/>
    <w:unhideWhenUsed/>
    <w:rsid w:val="007214D7"/>
    <w:pPr>
      <w:tabs>
        <w:tab w:val="center" w:pos="4513"/>
        <w:tab w:val="right" w:pos="9026"/>
      </w:tabs>
      <w:spacing w:before="0" w:after="0"/>
    </w:pPr>
  </w:style>
  <w:style w:type="character" w:customStyle="1" w:styleId="HeaderChar">
    <w:name w:val="Header Char"/>
    <w:basedOn w:val="DefaultParagraphFont"/>
    <w:link w:val="Header"/>
    <w:uiPriority w:val="99"/>
    <w:rsid w:val="007214D7"/>
    <w:rPr>
      <w:rFonts w:ascii="Arial" w:eastAsia="MS Mincho" w:hAnsi="Arial" w:cs="Times New Roman"/>
      <w:sz w:val="20"/>
      <w:szCs w:val="24"/>
      <w:lang w:val="en-US"/>
    </w:rPr>
  </w:style>
  <w:style w:type="paragraph" w:styleId="Footer">
    <w:name w:val="footer"/>
    <w:basedOn w:val="Normal"/>
    <w:link w:val="FooterChar"/>
    <w:uiPriority w:val="99"/>
    <w:unhideWhenUsed/>
    <w:rsid w:val="007214D7"/>
    <w:pPr>
      <w:tabs>
        <w:tab w:val="center" w:pos="4513"/>
        <w:tab w:val="right" w:pos="9026"/>
      </w:tabs>
      <w:spacing w:before="0" w:after="0"/>
    </w:pPr>
  </w:style>
  <w:style w:type="character" w:customStyle="1" w:styleId="FooterChar">
    <w:name w:val="Footer Char"/>
    <w:basedOn w:val="DefaultParagraphFont"/>
    <w:link w:val="Footer"/>
    <w:uiPriority w:val="99"/>
    <w:rsid w:val="007214D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report-a-breach/" TargetMode="External"/><Relationship Id="rId5" Type="http://schemas.openxmlformats.org/officeDocument/2006/relationships/styles" Target="styles.xml"/><Relationship Id="rId10" Type="http://schemas.openxmlformats.org/officeDocument/2006/relationships/hyperlink" Target="https://ico.org.uk/for-organisations/guide-to-the-general-data-protection-regulation-gdpr/personal-data-breach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2D815459F2748B49657D5B1D08DCD" ma:contentTypeVersion="12" ma:contentTypeDescription="Create a new document." ma:contentTypeScope="" ma:versionID="7e25a722857cb61b7f5feab934237797">
  <xsd:schema xmlns:xsd="http://www.w3.org/2001/XMLSchema" xmlns:xs="http://www.w3.org/2001/XMLSchema" xmlns:p="http://schemas.microsoft.com/office/2006/metadata/properties" xmlns:ns3="0c193f8c-bc74-418c-8ccf-2e77c0cf6172" xmlns:ns4="1ca1997d-e0ae-4e2f-8ffe-f170615eb484" targetNamespace="http://schemas.microsoft.com/office/2006/metadata/properties" ma:root="true" ma:fieldsID="477306e0af583d0bc88662ce40f533a3" ns3:_="" ns4:_="">
    <xsd:import namespace="0c193f8c-bc74-418c-8ccf-2e77c0cf6172"/>
    <xsd:import namespace="1ca1997d-e0ae-4e2f-8ffe-f170615eb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93f8c-bc74-418c-8ccf-2e77c0cf6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1997d-e0ae-4e2f-8ffe-f170615eb48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D88D7-3145-4C13-9EA4-4C4EBEA9D253}">
  <ds:schemaRefs>
    <ds:schemaRef ds:uri="http://purl.org/dc/elements/1.1/"/>
    <ds:schemaRef ds:uri="http://schemas.microsoft.com/office/infopath/2007/PartnerControls"/>
    <ds:schemaRef ds:uri="http://purl.org/dc/dcmitype/"/>
    <ds:schemaRef ds:uri="1ca1997d-e0ae-4e2f-8ffe-f170615eb484"/>
    <ds:schemaRef ds:uri="http://www.w3.org/XML/1998/namespace"/>
    <ds:schemaRef ds:uri="http://schemas.microsoft.com/office/2006/documentManagement/types"/>
    <ds:schemaRef ds:uri="http://schemas.openxmlformats.org/package/2006/metadata/core-properties"/>
    <ds:schemaRef ds:uri="http://purl.org/dc/terms/"/>
    <ds:schemaRef ds:uri="0c193f8c-bc74-418c-8ccf-2e77c0cf6172"/>
    <ds:schemaRef ds:uri="http://schemas.microsoft.com/office/2006/metadata/properties"/>
  </ds:schemaRefs>
</ds:datastoreItem>
</file>

<file path=customXml/itemProps2.xml><?xml version="1.0" encoding="utf-8"?>
<ds:datastoreItem xmlns:ds="http://schemas.openxmlformats.org/officeDocument/2006/customXml" ds:itemID="{0C8895C6-A98C-4B1D-A396-4BD5FA0E2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93f8c-bc74-418c-8ccf-2e77c0cf6172"/>
    <ds:schemaRef ds:uri="1ca1997d-e0ae-4e2f-8ffe-f170615eb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CA18C-0480-4BF4-8927-DD3F5BF0D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Morehen</dc:creator>
  <cp:keywords/>
  <dc:description/>
  <cp:lastModifiedBy>Emma Morehen</cp:lastModifiedBy>
  <cp:revision>3</cp:revision>
  <dcterms:created xsi:type="dcterms:W3CDTF">2020-03-13T10:59:00Z</dcterms:created>
  <dcterms:modified xsi:type="dcterms:W3CDTF">2020-03-27T12:27:00Z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0x0101005432D815459F2748B49657D5B1D08DCD</vt:lpwstr>
  </property>
</Properties>
</file>